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</w:pPr>
    </w:p>
    <w:p>
      <w:pPr>
        <w:spacing w:line="360" w:lineRule="exact"/>
        <w:jc w:val="center"/>
        <w:rPr>
          <w:rFonts w:ascii="仿宋_GB2312" w:hAnsi="宋体" w:eastAsia="仿宋_GB2312" w:cs="Times New Roman"/>
          <w:sz w:val="32"/>
          <w:szCs w:val="32"/>
        </w:rPr>
      </w:pPr>
    </w:p>
    <w:p>
      <w:pPr>
        <w:spacing w:line="360" w:lineRule="exact"/>
        <w:jc w:val="center"/>
        <w:rPr>
          <w:rFonts w:ascii="仿宋_GB2312" w:hAnsi="宋体" w:eastAsia="仿宋_GB2312" w:cs="Times New Roman"/>
          <w:sz w:val="32"/>
          <w:szCs w:val="32"/>
        </w:rPr>
      </w:pPr>
    </w:p>
    <w:p>
      <w:pPr>
        <w:spacing w:line="360" w:lineRule="exact"/>
        <w:jc w:val="center"/>
        <w:rPr>
          <w:rFonts w:ascii="仿宋_GB2312" w:hAnsi="宋体" w:eastAsia="仿宋_GB2312" w:cs="Times New Roman"/>
          <w:sz w:val="32"/>
          <w:szCs w:val="32"/>
        </w:rPr>
      </w:pPr>
    </w:p>
    <w:p>
      <w:pPr>
        <w:spacing w:line="360" w:lineRule="exact"/>
        <w:jc w:val="center"/>
        <w:rPr>
          <w:rFonts w:ascii="仿宋_GB2312" w:hAnsi="宋体" w:eastAsia="仿宋_GB2312" w:cs="Times New Roman"/>
          <w:sz w:val="32"/>
          <w:szCs w:val="32"/>
        </w:rPr>
      </w:pPr>
    </w:p>
    <w:p>
      <w:pPr>
        <w:spacing w:line="360" w:lineRule="exact"/>
        <w:jc w:val="center"/>
        <w:rPr>
          <w:rFonts w:ascii="仿宋_GB2312" w:hAnsi="宋体" w:eastAsia="仿宋_GB2312" w:cs="Times New Roman"/>
          <w:sz w:val="32"/>
          <w:szCs w:val="32"/>
        </w:rPr>
      </w:pPr>
    </w:p>
    <w:p>
      <w:pPr>
        <w:spacing w:line="360" w:lineRule="exact"/>
        <w:jc w:val="center"/>
        <w:rPr>
          <w:rFonts w:ascii="仿宋_GB2312" w:hAnsi="宋体" w:eastAsia="仿宋_GB2312" w:cs="Times New Roman"/>
          <w:sz w:val="32"/>
          <w:szCs w:val="32"/>
        </w:rPr>
      </w:pPr>
    </w:p>
    <w:p>
      <w:pPr>
        <w:spacing w:line="360" w:lineRule="exact"/>
        <w:jc w:val="center"/>
        <w:rPr>
          <w:rFonts w:ascii="仿宋_GB2312" w:hAnsi="宋体" w:eastAsia="仿宋_GB2312" w:cs="Times New Roman"/>
          <w:sz w:val="32"/>
          <w:szCs w:val="32"/>
        </w:rPr>
      </w:pPr>
    </w:p>
    <w:p>
      <w:pPr>
        <w:spacing w:line="360" w:lineRule="exact"/>
        <w:jc w:val="center"/>
        <w:rPr>
          <w:rFonts w:hint="eastAsia" w:ascii="仿宋_GB2312" w:hAnsi="宋体" w:eastAsia="仿宋_GB2312" w:cs="Times New Roman"/>
          <w:sz w:val="32"/>
          <w:szCs w:val="32"/>
        </w:rPr>
      </w:pPr>
    </w:p>
    <w:p>
      <w:pPr>
        <w:spacing w:line="440" w:lineRule="exact"/>
        <w:jc w:val="center"/>
        <w:rPr>
          <w:rFonts w:ascii="仿宋_GB2312" w:hAnsi="宋体" w:eastAsia="仿宋_GB2312" w:cs="Times New Roman"/>
          <w:b/>
          <w:bCs/>
          <w:sz w:val="44"/>
          <w:szCs w:val="44"/>
        </w:rPr>
      </w:pPr>
      <w:r>
        <w:rPr>
          <w:rFonts w:hint="eastAsia" w:ascii="仿宋_GB2312" w:hAnsi="宋体" w:eastAsia="仿宋_GB2312" w:cs="Times New Roman"/>
          <w:b/>
          <w:bCs/>
          <w:sz w:val="44"/>
          <w:szCs w:val="44"/>
        </w:rPr>
        <w:t xml:space="preserve"> </w:t>
      </w:r>
    </w:p>
    <w:p>
      <w:pPr>
        <w:spacing w:line="600" w:lineRule="exact"/>
        <w:jc w:val="both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pStyle w:val="7"/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spacing w:line="580" w:lineRule="exact"/>
        <w:ind w:firstLine="0" w:firstLineChars="0"/>
        <w:jc w:val="center"/>
        <w:textAlignment w:val="auto"/>
        <w:rPr>
          <w:rFonts w:hint="eastAsia" w:ascii="Times New Roman" w:eastAsia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工业和信息化局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关于印发</w:t>
      </w:r>
      <w:r>
        <w:rPr>
          <w:rFonts w:hint="eastAsia" w:ascii="仿宋_GB2312" w:hAnsi="仿宋_GB2312" w:eastAsia="仿宋_GB2312" w:cs="仿宋_GB2312"/>
          <w:sz w:val="44"/>
          <w:szCs w:val="44"/>
        </w:rPr>
        <w:t>《</w:t>
      </w:r>
      <w:r>
        <w:rPr>
          <w:rFonts w:hint="eastAsia" w:ascii="Times New Roman" w:eastAsia="方正小标宋简体"/>
          <w:sz w:val="44"/>
          <w:szCs w:val="44"/>
          <w:highlight w:val="none"/>
          <w:lang w:val="en-US" w:eastAsia="zh-CN"/>
        </w:rPr>
        <w:t>天津市</w:t>
      </w:r>
    </w:p>
    <w:p>
      <w:pPr>
        <w:pStyle w:val="7"/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spacing w:line="580" w:lineRule="exact"/>
        <w:ind w:firstLine="0" w:firstLineChars="0"/>
        <w:jc w:val="center"/>
        <w:textAlignment w:val="auto"/>
        <w:rPr>
          <w:rFonts w:hint="eastAsia" w:ascii="Times New Roman" w:eastAsia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eastAsia="方正小标宋简体"/>
          <w:sz w:val="44"/>
          <w:szCs w:val="44"/>
          <w:highlight w:val="none"/>
          <w:lang w:val="en-US" w:eastAsia="zh-CN"/>
        </w:rPr>
        <w:t>制造业</w:t>
      </w:r>
      <w:r>
        <w:rPr>
          <w:rFonts w:hint="default" w:ascii="Times New Roman" w:hAnsi="Times New Roman" w:eastAsia="方正小标宋简体"/>
          <w:sz w:val="44"/>
          <w:szCs w:val="44"/>
          <w:highlight w:val="none"/>
          <w:lang w:val="en-US"/>
        </w:rPr>
        <w:t>数字化转型服务商</w:t>
      </w:r>
      <w:r>
        <w:rPr>
          <w:rFonts w:hint="eastAsia" w:ascii="Times New Roman" w:eastAsia="方正小标宋简体"/>
          <w:sz w:val="44"/>
          <w:szCs w:val="44"/>
          <w:highlight w:val="none"/>
          <w:lang w:val="en-US" w:eastAsia="zh-CN"/>
        </w:rPr>
        <w:t>管理</w:t>
      </w:r>
    </w:p>
    <w:p>
      <w:pPr>
        <w:pStyle w:val="7"/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spacing w:line="5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Times New Roman" w:eastAsia="方正小标宋简体"/>
          <w:sz w:val="44"/>
          <w:szCs w:val="44"/>
          <w:highlight w:val="none"/>
          <w:lang w:val="en-US" w:eastAsia="zh-CN"/>
        </w:rPr>
        <w:t>规范（试行）</w:t>
      </w:r>
      <w:r>
        <w:rPr>
          <w:rFonts w:hint="eastAsia" w:ascii="仿宋_GB2312" w:hAnsi="仿宋_GB2312" w:eastAsia="仿宋_GB2312" w:cs="仿宋_GB2312"/>
          <w:sz w:val="44"/>
          <w:szCs w:val="44"/>
        </w:rPr>
        <w:t>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各区工业和信息化主管部门，各有关单位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864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为深入贯彻落实工业和信息化部《“十四五”信息化和工业化深度融合发展规划》（工信部规〔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2021〕182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号）、《天津市制造业数字化转型三年行动方案（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2021-2023年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）》（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津工信信发〔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）等相关文件精神，</w:t>
      </w:r>
      <w:r>
        <w:rPr>
          <w:rFonts w:hint="eastAsia" w:ascii="仿宋_GB2312" w:hAnsi="仿宋_GB2312" w:eastAsia="仿宋_GB2312" w:cs="仿宋_GB2312"/>
          <w:sz w:val="32"/>
          <w:szCs w:val="32"/>
        </w:rPr>
        <w:t>完善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我市</w:t>
      </w:r>
      <w:r>
        <w:rPr>
          <w:rFonts w:hint="eastAsia" w:ascii="仿宋_GB2312" w:hAnsi="仿宋_GB2312" w:eastAsia="仿宋_GB2312" w:cs="仿宋_GB2312"/>
          <w:sz w:val="32"/>
          <w:szCs w:val="32"/>
        </w:rPr>
        <w:t>数字化转型服务体系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建设，加强制造业数字化转型服务商培育力度和服务供给能力，打造“天津市制造业数字化转型服务商资源池”，我局研究制定了《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天津市制造业数字化转型服务商管理规范（试行）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》，现印发给你们，请遵照执行。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特此通知。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596" w:leftChars="303" w:hanging="960" w:hangingChars="300"/>
        <w:textAlignment w:val="auto"/>
        <w:outlineLvl w:val="9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180" w:firstLineChars="994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eastAsia="仿宋_GB2312"/>
          <w:sz w:val="32"/>
          <w:szCs w:val="32"/>
        </w:rPr>
        <w:t>　　　　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29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tabs>
          <w:tab w:val="left" w:pos="1843"/>
          <w:tab w:val="left" w:pos="212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（联系人：市工业和信息化局信息技术发展处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蔡飞</w:t>
      </w:r>
      <w:r>
        <w:rPr>
          <w:rFonts w:hint="eastAsia" w:ascii="仿宋_GB2312" w:eastAsia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tabs>
          <w:tab w:val="left" w:pos="1843"/>
          <w:tab w:val="left" w:pos="2127"/>
          <w:tab w:val="left" w:pos="723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72" w:firstLineChars="71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ascii="Times New Roman" w:hAnsi="Times New Roman" w:eastAsia="仿宋_GB2312" w:cs="Times New Roman"/>
          <w:sz w:val="32"/>
          <w:szCs w:val="32"/>
        </w:rPr>
        <w:t>8360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2860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814" w:right="1417" w:bottom="1701" w:left="1417" w:header="851" w:footer="992" w:gutter="0"/>
          <w:pgNumType w:fmt="numberInDash" w:start="1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（此件主动公开） </w:t>
      </w:r>
    </w:p>
    <w:p>
      <w:pPr>
        <w:pStyle w:val="7"/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天津市制造业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/>
        </w:rPr>
        <w:t>数字化转型服务商</w:t>
      </w:r>
    </w:p>
    <w:p>
      <w:pPr>
        <w:pStyle w:val="7"/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简体" w:cs="方正小标宋_GBK"/>
          <w:sz w:val="36"/>
          <w:szCs w:val="36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管理规范（试行）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default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default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第一条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24"/>
        </w:rPr>
        <w:t>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24"/>
          <w:shd w:val="clear" w:color="auto" w:fill="auto"/>
        </w:rPr>
        <w:t>加速行业数字化转型和企业数字化变革，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24"/>
          <w:lang w:val="en-US" w:eastAsia="zh-CN" w:bidi="ar-SA"/>
        </w:rPr>
        <w:t>提升我市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24"/>
          <w:shd w:val="clear" w:color="auto" w:fill="auto"/>
          <w:lang w:val="en-US" w:eastAsia="zh-CN"/>
        </w:rPr>
        <w:t>数字化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24"/>
          <w:shd w:val="clear" w:color="auto" w:fill="auto"/>
        </w:rPr>
        <w:t>转型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24"/>
          <w:shd w:val="clear" w:color="auto" w:fill="auto"/>
          <w:lang w:val="en-US" w:eastAsia="zh-CN"/>
        </w:rPr>
        <w:t>服务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24"/>
          <w:shd w:val="clear" w:color="auto" w:fill="auto"/>
        </w:rPr>
        <w:t>能力，全面推进制造业数字化、网络化、智能化发展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24"/>
          <w:shd w:val="clear" w:color="auto" w:fill="auto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"/>
        </w:rPr>
        <w:t>根据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24"/>
          <w:lang w:val="en-US" w:eastAsia="zh-CN" w:bidi="ar"/>
        </w:rPr>
        <w:t>工业和信息化部《“十四五”信息化和工业化深度融合发展规划》（工信部规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24"/>
          <w:lang w:val="en-US" w:eastAsia="zh-CN" w:bidi="ar"/>
        </w:rPr>
        <w:t>〔2021〕182号）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24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24"/>
          <w:lang w:val="en-US" w:bidi="ar-SA"/>
        </w:rPr>
        <w:t>《天津市制造业数字化转型三年行动方案（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24"/>
          <w:lang w:val="en-US" w:bidi="ar-SA"/>
        </w:rPr>
        <w:t>2021-2023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24"/>
          <w:lang w:val="en-US" w:bidi="ar-SA"/>
        </w:rPr>
        <w:t>年）》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24"/>
          <w:lang w:val="en-US" w:eastAsia="zh-CN" w:bidi="ar-SA"/>
        </w:rPr>
        <w:t>（</w:t>
      </w:r>
      <w:r>
        <w:rPr>
          <w:rFonts w:hint="eastAsia" w:ascii="仿宋_GB2312" w:hAnsi="宋体" w:eastAsia="仿宋_GB2312" w:cs="Times New Roman"/>
          <w:b w:val="0"/>
          <w:bCs w:val="0"/>
          <w:sz w:val="32"/>
          <w:szCs w:val="32"/>
        </w:rPr>
        <w:t>津工信</w:t>
      </w:r>
      <w:r>
        <w:rPr>
          <w:rFonts w:hint="eastAsia" w:ascii="仿宋_GB2312" w:hAnsi="宋体" w:eastAsia="仿宋_GB2312" w:cs="Times New Roman"/>
          <w:b w:val="0"/>
          <w:bCs w:val="0"/>
          <w:sz w:val="32"/>
          <w:szCs w:val="32"/>
          <w:lang w:eastAsia="zh-CN"/>
        </w:rPr>
        <w:t>信发</w:t>
      </w:r>
      <w:r>
        <w:rPr>
          <w:rFonts w:hint="eastAsia" w:ascii="仿宋_GB2312" w:hAnsi="宋体" w:eastAsia="仿宋_GB2312" w:cs="Times New Roman"/>
          <w:b w:val="0"/>
          <w:bCs w:val="0"/>
          <w:sz w:val="32"/>
          <w:szCs w:val="32"/>
        </w:rPr>
        <w:t>〔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〕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22</w:t>
      </w:r>
      <w:r>
        <w:rPr>
          <w:rFonts w:hint="eastAsia" w:ascii="仿宋_GB2312" w:hAnsi="宋体" w:eastAsia="仿宋_GB2312" w:cs="Times New Roman"/>
          <w:b w:val="0"/>
          <w:bCs w:val="0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24"/>
          <w:lang w:val="en-US" w:eastAsia="zh-CN" w:bidi="ar-SA"/>
        </w:rPr>
        <w:t>）等相关文件精神，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加强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制造业数字化转型服务商培育力度和服务供给能力，打造“天津市制造业数字化转型服务商资源池”，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制定本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管理规范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第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default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本管理规范适用于本市行政区域内制造业数字化转型服务商（以下简称“服务商”）的遴选、管理、监督等相关工作。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pStyle w:val="7"/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firstLine="632"/>
        <w:textAlignment w:val="auto"/>
        <w:outlineLvl w:val="9"/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  <w:lang w:val="zh-CN" w:eastAsia="zh-CN" w:bidi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第三条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市工业和信息化局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eastAsia="zh-CN"/>
        </w:rPr>
        <w:t>负责组织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/>
        </w:rPr>
        <w:t>服务商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的遴选、评价等工作，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发布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eastAsia="zh-CN"/>
        </w:rPr>
        <w:t>年度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申报指南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eastAsia="zh-CN"/>
        </w:rPr>
        <w:t>，组织第三方进行评审，</w:t>
      </w: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zh-CN"/>
        </w:rPr>
        <w:t>对入选服务商进行动态管理和监督评价</w:t>
      </w:r>
      <w:r>
        <w:rPr>
          <w:rFonts w:hint="eastAsia" w:hAnsi="Times New Roman" w:eastAsia="仿宋_GB2312" w:cs="Times New Roman"/>
          <w:color w:val="000000"/>
          <w:sz w:val="32"/>
          <w:szCs w:val="32"/>
          <w:lang w:eastAsia="zh-CN"/>
        </w:rPr>
        <w:t>，</w:t>
      </w:r>
      <w:r>
        <w:rPr>
          <w:rFonts w:hint="eastAsia" w:hAnsi="Times New Roman" w:eastAsia="仿宋_GB2312" w:cs="Times New Roman"/>
          <w:sz w:val="32"/>
          <w:szCs w:val="32"/>
          <w:highlight w:val="none"/>
          <w:lang w:val="en-US" w:eastAsia="zh-CN"/>
        </w:rPr>
        <w:t>组成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天津市</w:t>
      </w:r>
      <w:r>
        <w:rPr>
          <w:rFonts w:hint="eastAsia" w:hAnsi="Times New Roman" w:eastAsia="仿宋_GB2312" w:cs="Times New Roman"/>
          <w:sz w:val="32"/>
          <w:szCs w:val="32"/>
          <w:highlight w:val="none"/>
          <w:lang w:val="en-US" w:eastAsia="zh-CN"/>
        </w:rPr>
        <w:t>制造业数字化转型服务商资源池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（以下简称“资源池”）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。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各区工业和信息化主管部门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eastAsia="zh-CN"/>
        </w:rPr>
        <w:t>负责本区域内服务商的初审推荐，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协助市工业和信息化局做好</w:t>
      </w: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zh-CN"/>
        </w:rPr>
        <w:t>“资源池”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的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eastAsia="zh-CN"/>
        </w:rPr>
        <w:t>宣传、推广</w:t>
      </w:r>
      <w:r>
        <w:rPr>
          <w:rFonts w:hint="eastAsia" w:hAnsi="Times New Roman" w:eastAsia="仿宋_GB2312" w:cs="Times New Roman"/>
          <w:color w:val="000000"/>
          <w:sz w:val="32"/>
          <w:szCs w:val="32"/>
          <w:lang w:eastAsia="zh-CN"/>
        </w:rPr>
        <w:t>、监督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eastAsia="zh-CN"/>
        </w:rPr>
        <w:t>等工作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22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  <w:t xml:space="preserve">第四条  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本管理规范所称服务商主要包括数字化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解决方案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服务商、两化融合贯标咨询服务商、工业互联网服务商、云服务商等。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22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2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  <w:t xml:space="preserve">第五条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数字化解决方案服务商应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提供数字化咨询、数字化设计、数字化集成服务等</w:t>
      </w:r>
      <w:r>
        <w:rPr>
          <w:rFonts w:hint="eastAsia" w:ascii="Times New Roman" w:hAnsi="Times New Roman" w:eastAsia="仿宋_GB2312" w:cs="Times New Roman"/>
          <w:sz w:val="32"/>
          <w:szCs w:val="24"/>
          <w:highlight w:val="none"/>
          <w:lang w:val="en-US" w:eastAsia="zh-CN"/>
        </w:rPr>
        <w:t>。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两化融合贯标咨询服务商应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提供信息化和工业化融合管理体系贯标咨询服务。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工业互联网服务商应提供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工业互联网平台服务、工业互联网安全服务等。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云服务商应提供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基础设施服务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IaaS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、平台服务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PaaS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、云软件服务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</w:rPr>
        <w:t>SaaS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line="580" w:lineRule="exact"/>
        <w:ind w:left="0" w:leftChars="0" w:firstLine="462" w:firstLineChars="200"/>
        <w:jc w:val="center"/>
        <w:textAlignment w:val="auto"/>
        <w:outlineLvl w:val="9"/>
        <w:rPr>
          <w:rFonts w:hint="eastAsia" w:ascii="仿宋_GB2312" w:hAnsi="华文中宋" w:eastAsia="仿宋_GB2312" w:cs="Times New Roman"/>
          <w:kern w:val="0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  <w:t>第六条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服务商应为依法登记注册并取得营业执照的企事业单位、行业协会等。财务状况良好，近三年无触犯国家法律法规的行为、无不正当竞争行为，具有良好的资信和公众形象。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  <w:t>第七条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服务商应遵守</w:t>
      </w:r>
      <w:r>
        <w:rPr>
          <w:rFonts w:hint="eastAsia" w:ascii="Times New Roman" w:hAnsi="Times New Roman" w:eastAsia="仿宋_GB2312" w:cs="Times New Roman"/>
          <w:strike w:val="0"/>
          <w:sz w:val="32"/>
          <w:szCs w:val="32"/>
          <w:highlight w:val="none"/>
          <w:lang w:val="en-US" w:eastAsia="zh-CN"/>
        </w:rPr>
        <w:t>我市的相关政策，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自觉接受工业和信息化等部门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的</w:t>
      </w:r>
      <w:r>
        <w:rPr>
          <w:rFonts w:hint="eastAsia" w:ascii="Times New Roman" w:hAnsi="Times New Roman" w:eastAsia="仿宋_GB2312" w:cs="Times New Roman"/>
          <w:strike w:val="0"/>
          <w:sz w:val="32"/>
          <w:szCs w:val="32"/>
          <w:highlight w:val="none"/>
          <w:lang w:val="en-US" w:eastAsia="zh-CN"/>
        </w:rPr>
        <w:t>检查监督。任何单位和个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人不得强迫或指定企业选择某一服务商。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  <w:t>第八条  入选资源池的</w:t>
      </w:r>
      <w:r>
        <w:rPr>
          <w:rFonts w:hint="eastAsia" w:ascii="Times New Roman" w:hAnsi="Times New Roman" w:eastAsia="仿宋_GB2312" w:cs="Times New Roman"/>
          <w:strike w:val="0"/>
          <w:sz w:val="32"/>
          <w:szCs w:val="32"/>
          <w:highlight w:val="none"/>
          <w:lang w:val="en-US" w:eastAsia="zh-CN"/>
        </w:rPr>
        <w:t>服务商需具备下列基本条件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</w:pPr>
      <w:bookmarkStart w:id="0" w:name="_Hlk518410206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（一）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具有较强的本地化服务能力和市场开拓能力，服务队伍的人员数量和构成相对稳定，具有较丰富的行业服务经验。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eastAsia"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运营和财务状况良好，技术水平、服务能力在同行业中处于领先地位，具备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咨询评测、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项目开发、资金筹措、实施能力以及良好的社会信用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能够支撑和保障服务工作完成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）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熟悉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行业服务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工作流程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掌握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本行业中规定的相关服务要求和准则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，熟练运用相关标准、模型和工具，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服务模型应具备科学性、权威性、通用性和全面性。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22" w:firstLineChars="200"/>
        <w:jc w:val="both"/>
        <w:textAlignment w:val="auto"/>
        <w:outlineLvl w:val="9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）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积极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开展数字化转型相关服务，遵守服务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工作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相关规范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对服务内容和工作流程能够细致、正确的解读宣贯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22" w:firstLineChars="200"/>
        <w:jc w:val="both"/>
        <w:textAlignment w:val="auto"/>
        <w:rPr>
          <w:rFonts w:hint="eastAsia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（五）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不存在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《天津市社会信用条例》第二十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七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条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所列的行为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未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列入严重失信主体名单。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line="580" w:lineRule="exact"/>
        <w:ind w:left="0" w:leftChars="0" w:firstLine="462" w:firstLineChars="200"/>
        <w:jc w:val="center"/>
        <w:textAlignment w:val="auto"/>
        <w:rPr>
          <w:rFonts w:hint="default" w:ascii="仿宋_GB2312" w:hAnsi="华文中宋" w:eastAsia="仿宋_GB2312" w:cs="Times New Roman"/>
          <w:kern w:val="0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  <w:t>第九条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市工业和信息化局每年至少组织一次向社会公开遴选服务商。服务商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按自愿原则进行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申报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可根据自身能力和条件申报资源池的多个方向。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line="580" w:lineRule="exact"/>
        <w:ind w:left="0" w:leftChars="0" w:firstLine="462" w:firstLineChars="200"/>
        <w:jc w:val="center"/>
        <w:textAlignment w:val="auto"/>
        <w:outlineLvl w:val="9"/>
        <w:rPr>
          <w:rFonts w:hint="eastAsia" w:ascii="仿宋_GB2312" w:hAnsi="华文中宋" w:eastAsia="仿宋_GB2312" w:cs="Times New Roman"/>
          <w:kern w:val="0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22" w:firstLineChars="20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  <w:t>第十条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市工业和信息化局组织第三方机构（专家）对资源池申报单位进行评审，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提出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综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合评定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意见，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初步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确定服务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商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名单，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并向社会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进行公示，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公示期不少于7天，公示期满无异议的纳入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天津市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制造业数字化转型服务商资源池。</w:t>
      </w:r>
    </w:p>
    <w:p>
      <w:pPr>
        <w:pStyle w:val="7"/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firstLine="632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firstLine="632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  <w:t>第十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  <w:t xml:space="preserve">一条 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服务商的分级评价</w:t>
      </w:r>
    </w:p>
    <w:p>
      <w:pPr>
        <w:pStyle w:val="7"/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firstLine="632"/>
        <w:textAlignment w:val="auto"/>
        <w:outlineLvl w:val="9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市工业和信息化局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制定制造业数字化转型服务商的评价标准，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每年组织第三方机构（专家）对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服务商进行评价评级。</w:t>
      </w:r>
    </w:p>
    <w:p>
      <w:pPr>
        <w:pStyle w:val="7"/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firstLine="632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服务商按年度评价得分进行分级，80分以上（含80分）为A级，70-80分以下（含70分）为B级，60-70分以下（含60分）为C级，60分以下为D级。</w:t>
      </w:r>
    </w:p>
    <w:p>
      <w:pPr>
        <w:pStyle w:val="7"/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firstLine="632"/>
        <w:textAlignment w:val="auto"/>
        <w:outlineLvl w:val="9"/>
        <w:rPr>
          <w:rFonts w:hint="default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</w:pPr>
    </w:p>
    <w:p>
      <w:pPr>
        <w:pStyle w:val="7"/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firstLine="632"/>
        <w:textAlignment w:val="auto"/>
        <w:outlineLvl w:val="9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  <w:t>第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  <w:t xml:space="preserve">十二条 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服务商存在以下任意一种情形，不再列入资源池，并向社会公示。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firstLine="632"/>
        <w:textAlignment w:val="auto"/>
        <w:outlineLvl w:val="9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违反法律法规、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行业自律公约等被通报的；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firstLine="632"/>
        <w:textAlignment w:val="auto"/>
        <w:outlineLvl w:val="9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评级结果为C级与D级的；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firstLine="632"/>
        <w:textAlignment w:val="auto"/>
        <w:outlineLvl w:val="9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拒绝接受监督检查的；</w:t>
      </w:r>
    </w:p>
    <w:p>
      <w:pPr>
        <w:pStyle w:val="7"/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firstLine="632"/>
        <w:textAlignment w:val="auto"/>
        <w:outlineLvl w:val="9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（四）被企业或其他服务商投诉3次或以上并核实确认属实的；</w:t>
      </w:r>
    </w:p>
    <w:p>
      <w:pPr>
        <w:pStyle w:val="7"/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firstLine="632"/>
        <w:textAlignment w:val="auto"/>
        <w:outlineLvl w:val="9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（五）有弄虚作假、骗取资助资金等行为的；</w:t>
      </w:r>
    </w:p>
    <w:p>
      <w:pPr>
        <w:pStyle w:val="7"/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firstLine="632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（六）发生重大责任事故、造成严重社会影响的；</w:t>
      </w:r>
    </w:p>
    <w:p>
      <w:pPr>
        <w:pStyle w:val="7"/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firstLine="632"/>
        <w:textAlignment w:val="auto"/>
        <w:outlineLvl w:val="9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（七）不配合提供服务情况的；</w:t>
      </w:r>
    </w:p>
    <w:p>
      <w:pPr>
        <w:pStyle w:val="7"/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firstLine="632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（八）主动退出资源池的。</w:t>
      </w:r>
    </w:p>
    <w:p>
      <w:pPr>
        <w:pStyle w:val="7"/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firstLine="632"/>
        <w:textAlignment w:val="auto"/>
        <w:outlineLvl w:val="9"/>
        <w:rPr>
          <w:rFonts w:hint="default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</w:pPr>
    </w:p>
    <w:p>
      <w:pPr>
        <w:pStyle w:val="7"/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firstLine="632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  <w:t>第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  <w:t xml:space="preserve">十三条 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本管理规范由市工业和信息化局负责解释，并根据产业发展情况适时进行修订。</w:t>
      </w:r>
    </w:p>
    <w:p>
      <w:pPr>
        <w:pStyle w:val="7"/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firstLine="632"/>
        <w:jc w:val="center"/>
        <w:textAlignment w:val="auto"/>
        <w:outlineLvl w:val="9"/>
        <w:rPr>
          <w:rFonts w:hint="default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</w:pPr>
    </w:p>
    <w:p>
      <w:pPr>
        <w:pStyle w:val="7"/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firstLine="632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  <w:t>第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  <w:t xml:space="preserve">十四条 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本管理规范自印发之日起施行，有效期至2025年12月31日。</w:t>
      </w:r>
    </w:p>
    <w:p>
      <w:pPr>
        <w:tabs>
          <w:tab w:val="left" w:pos="8643"/>
        </w:tabs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pStyle w:val="2"/>
        <w:rPr>
          <w:rFonts w:ascii="Times New Roman" w:hAnsi="Times New Roman" w:eastAsia="方正小标宋简体" w:cs="Times New Roman"/>
          <w:sz w:val="44"/>
          <w:szCs w:val="44"/>
        </w:rPr>
      </w:pPr>
      <w:bookmarkStart w:id="1" w:name="_GoBack"/>
      <w:bookmarkEnd w:id="1"/>
    </w:p>
    <w:sectPr>
      <w:footerReference r:id="rId9" w:type="default"/>
      <w:pgSz w:w="11906" w:h="16838"/>
      <w:pgMar w:top="2098" w:right="1474" w:bottom="1984" w:left="1588" w:header="851" w:footer="1077" w:gutter="0"/>
      <w:pgNumType w:fmt="numberInDash"/>
      <w:cols w:space="720" w:num="1"/>
      <w:docGrid w:type="linesAndChars" w:linePitch="579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仿宋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ACC7AC10-D1AE-44C4-B45E-75F1574091CF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F460D0EB-2EE2-4FFC-8FEE-023651D9CD92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82A5344-79A6-4667-BD0D-ACD9455AEDB5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EC6D866F-91B9-4B23-B3DA-57D44655BF0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5269230</wp:posOffset>
              </wp:positionH>
              <wp:positionV relativeFrom="paragraph">
                <wp:posOffset>50800</wp:posOffset>
              </wp:positionV>
              <wp:extent cx="494665" cy="2457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4665" cy="2457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ascii="Times New Roman" w:hAnsi="Times New Roman" w:cs="Times New Roman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14.9pt;margin-top:4pt;height:19.35pt;width:38.95pt;mso-position-horizontal-relative:margin;z-index:251659264;mso-width-relative:page;mso-height-relative:page;" filled="f" stroked="f" coordsize="21600,21600" o:gfxdata="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M85nRzYAAAACAEAAA8AAAAAAAAAAQAgAAAAIgAAAGRycy9kb3ducmV2Lnht&#10;bFBLAQIUABQAAAAIAIdO4kBiTD1eMgIAAFUEAAAOAAAAAAAAAAEAIAAAACc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8"/>
                      <w:rPr>
                        <w:rFonts w:ascii="Times New Roman" w:hAnsi="Times New Roman" w:cs="Times New Roman"/>
                        <w:sz w:val="30"/>
                        <w:szCs w:val="30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64135</wp:posOffset>
              </wp:positionH>
              <wp:positionV relativeFrom="paragraph">
                <wp:posOffset>-200660</wp:posOffset>
              </wp:positionV>
              <wp:extent cx="509270" cy="25908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270" cy="2590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5.05pt;margin-top:-15.8pt;height:20.4pt;width:40.1pt;mso-position-horizontal-relative:margin;z-index:251660288;mso-width-relative:page;mso-height-relative:page;" filled="f" stroked="f" coordsize="21600,21600" o:gfxdata="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dPu6MNUAAAAHAQAADwAAAAAAAAABACAAAAAiAAAAZHJzL2Rvd25yZXYueG1sUEsB&#10;AhQAFAAAAAgAh07iQKAJd/0xAgAAVQQAAA4AAAAAAAAAAQAgAAAAJA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8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- 4 -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- 2 -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- 2 -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adjustRightInd w:val="0"/>
      <w:snapToGrid w:val="0"/>
      <w:spacing w:line="300" w:lineRule="auto"/>
      <w:ind w:right="360" w:firstLine="360" w:firstLineChars="200"/>
      <w:jc w:val="left"/>
    </w:pPr>
    <w:r>
      <w:rPr>
        <w:rFonts w:ascii="Times New Roman" w:hAnsi="Times New Roman" w:eastAsia="仿宋_GB2312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4789170</wp:posOffset>
              </wp:positionH>
              <wp:positionV relativeFrom="paragraph">
                <wp:posOffset>-99060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9050">
                        <a:noFill/>
                      </a:ln>
                    </wps:spPr>
                    <wps:txbx>
                      <w:txbxContent>
                        <w:p>
                          <w:pPr>
                            <w:widowControl w:val="0"/>
                            <w:adjustRightInd w:val="0"/>
                            <w:snapToGrid w:val="0"/>
                            <w:spacing w:line="300" w:lineRule="auto"/>
                            <w:ind w:firstLine="560" w:firstLineChars="200"/>
                            <w:jc w:val="both"/>
                          </w:pP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77.1pt;margin-top:-7.8pt;height:144pt;width:144pt;mso-position-horizontal-relative:margin;mso-wrap-style:none;z-index:251659264;mso-width-relative:page;mso-height-relative:page;" filled="f" stroked="f" coordsize="21600,21600" o:gfxdata="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Pr+EC9gAAAAMAQAADwAAAAAAAAABACAAAAAi&#10;AAAAZHJzL2Rvd25yZXYueG1sUEsBAhQAFAAAAAgAh07iQNV5n9TRAQAAowMAAA4AAAAAAAAAAQAg&#10;AAAAJwEAAGRycy9lMm9Eb2MueG1sUEsFBgAAAAAGAAYAWQEAAGoFAAAAAA==&#10;">
              <v:fill on="f" focussize="0,0"/>
              <v:stroke on="f" weight="1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idowControl w:val="0"/>
                      <w:adjustRightInd w:val="0"/>
                      <w:snapToGrid w:val="0"/>
                      <w:spacing w:line="300" w:lineRule="auto"/>
                      <w:ind w:firstLine="560" w:firstLineChars="200"/>
                      <w:jc w:val="both"/>
                    </w:pP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48ED8B"/>
    <w:multiLevelType w:val="singleLevel"/>
    <w:tmpl w:val="0048ED8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kMzAwNjkxMWUzZTY1MDMwNDU1ZmFlNDBhMzVhNjAifQ=="/>
  </w:docVars>
  <w:rsids>
    <w:rsidRoot w:val="00E9736B"/>
    <w:rsid w:val="0006311F"/>
    <w:rsid w:val="00087DB2"/>
    <w:rsid w:val="00123998"/>
    <w:rsid w:val="00123A12"/>
    <w:rsid w:val="00147125"/>
    <w:rsid w:val="00184F62"/>
    <w:rsid w:val="001956CD"/>
    <w:rsid w:val="001A2B76"/>
    <w:rsid w:val="001F04ED"/>
    <w:rsid w:val="002050DC"/>
    <w:rsid w:val="00215ACF"/>
    <w:rsid w:val="002535DD"/>
    <w:rsid w:val="00263B9F"/>
    <w:rsid w:val="00272EAB"/>
    <w:rsid w:val="002B6174"/>
    <w:rsid w:val="002B6987"/>
    <w:rsid w:val="002D7EC3"/>
    <w:rsid w:val="00303C95"/>
    <w:rsid w:val="00306E77"/>
    <w:rsid w:val="00363C75"/>
    <w:rsid w:val="00374379"/>
    <w:rsid w:val="00374BF3"/>
    <w:rsid w:val="0038360D"/>
    <w:rsid w:val="0039574D"/>
    <w:rsid w:val="00397797"/>
    <w:rsid w:val="003E3108"/>
    <w:rsid w:val="00406B2E"/>
    <w:rsid w:val="004242A4"/>
    <w:rsid w:val="004C645D"/>
    <w:rsid w:val="004F018A"/>
    <w:rsid w:val="00521308"/>
    <w:rsid w:val="00533A3D"/>
    <w:rsid w:val="00552189"/>
    <w:rsid w:val="00573349"/>
    <w:rsid w:val="0059323D"/>
    <w:rsid w:val="00661474"/>
    <w:rsid w:val="006F4C68"/>
    <w:rsid w:val="00732F4E"/>
    <w:rsid w:val="007A1775"/>
    <w:rsid w:val="007D25BC"/>
    <w:rsid w:val="007F64EC"/>
    <w:rsid w:val="00843BA6"/>
    <w:rsid w:val="0089471E"/>
    <w:rsid w:val="008D4417"/>
    <w:rsid w:val="008F0142"/>
    <w:rsid w:val="00931BFE"/>
    <w:rsid w:val="009470FA"/>
    <w:rsid w:val="0098321D"/>
    <w:rsid w:val="009A569C"/>
    <w:rsid w:val="009C0C92"/>
    <w:rsid w:val="009C6738"/>
    <w:rsid w:val="00A271EB"/>
    <w:rsid w:val="00AA5A42"/>
    <w:rsid w:val="00AA6654"/>
    <w:rsid w:val="00AE1032"/>
    <w:rsid w:val="00AE6316"/>
    <w:rsid w:val="00B107B7"/>
    <w:rsid w:val="00B20A9F"/>
    <w:rsid w:val="00B56DC2"/>
    <w:rsid w:val="00B94D89"/>
    <w:rsid w:val="00BD2B39"/>
    <w:rsid w:val="00C36409"/>
    <w:rsid w:val="00C375F8"/>
    <w:rsid w:val="00C51E4E"/>
    <w:rsid w:val="00C64E55"/>
    <w:rsid w:val="00CB5088"/>
    <w:rsid w:val="00CD05A1"/>
    <w:rsid w:val="00CE52C5"/>
    <w:rsid w:val="00CE7DA1"/>
    <w:rsid w:val="00CF7EB6"/>
    <w:rsid w:val="00D03962"/>
    <w:rsid w:val="00D25F68"/>
    <w:rsid w:val="00D3010F"/>
    <w:rsid w:val="00D33FAB"/>
    <w:rsid w:val="00DB4503"/>
    <w:rsid w:val="00DF174A"/>
    <w:rsid w:val="00DF29C7"/>
    <w:rsid w:val="00DF37AA"/>
    <w:rsid w:val="00E06E97"/>
    <w:rsid w:val="00E1488E"/>
    <w:rsid w:val="00E237D9"/>
    <w:rsid w:val="00E642FE"/>
    <w:rsid w:val="00E755E5"/>
    <w:rsid w:val="00E9736B"/>
    <w:rsid w:val="00ED4524"/>
    <w:rsid w:val="00F10F61"/>
    <w:rsid w:val="00F325F8"/>
    <w:rsid w:val="00F65AA3"/>
    <w:rsid w:val="00F66FF4"/>
    <w:rsid w:val="00F912F9"/>
    <w:rsid w:val="00FB5CBF"/>
    <w:rsid w:val="00FF2FFE"/>
    <w:rsid w:val="02811D5B"/>
    <w:rsid w:val="05BD354B"/>
    <w:rsid w:val="07D23599"/>
    <w:rsid w:val="0AAC0A94"/>
    <w:rsid w:val="0ACF7F8A"/>
    <w:rsid w:val="0C295305"/>
    <w:rsid w:val="0CEA609E"/>
    <w:rsid w:val="0FBF45A9"/>
    <w:rsid w:val="0FC82A57"/>
    <w:rsid w:val="10E11591"/>
    <w:rsid w:val="10EC4F0B"/>
    <w:rsid w:val="114173DC"/>
    <w:rsid w:val="12565321"/>
    <w:rsid w:val="12666527"/>
    <w:rsid w:val="12D15614"/>
    <w:rsid w:val="14976334"/>
    <w:rsid w:val="14B26D0F"/>
    <w:rsid w:val="18057257"/>
    <w:rsid w:val="18B7187C"/>
    <w:rsid w:val="19153CB9"/>
    <w:rsid w:val="19987CAE"/>
    <w:rsid w:val="19C718EA"/>
    <w:rsid w:val="1C452893"/>
    <w:rsid w:val="1CB62461"/>
    <w:rsid w:val="1D7E6EC2"/>
    <w:rsid w:val="1FE00C19"/>
    <w:rsid w:val="1FF55597"/>
    <w:rsid w:val="206F27A5"/>
    <w:rsid w:val="2155071A"/>
    <w:rsid w:val="217E6B86"/>
    <w:rsid w:val="23410A08"/>
    <w:rsid w:val="237E0BB5"/>
    <w:rsid w:val="24023FE1"/>
    <w:rsid w:val="252E4BB4"/>
    <w:rsid w:val="26236ACC"/>
    <w:rsid w:val="267C55F2"/>
    <w:rsid w:val="26AB7917"/>
    <w:rsid w:val="27242338"/>
    <w:rsid w:val="283B1C22"/>
    <w:rsid w:val="2B8F062E"/>
    <w:rsid w:val="2BAC0616"/>
    <w:rsid w:val="2BEF4D34"/>
    <w:rsid w:val="2C822873"/>
    <w:rsid w:val="2D003468"/>
    <w:rsid w:val="2D7E61A7"/>
    <w:rsid w:val="2E044261"/>
    <w:rsid w:val="30977AB2"/>
    <w:rsid w:val="30B02D5F"/>
    <w:rsid w:val="32021F52"/>
    <w:rsid w:val="324A0357"/>
    <w:rsid w:val="336F7174"/>
    <w:rsid w:val="345477B1"/>
    <w:rsid w:val="34711EE2"/>
    <w:rsid w:val="35052D25"/>
    <w:rsid w:val="35E2210A"/>
    <w:rsid w:val="3645104A"/>
    <w:rsid w:val="36CD755E"/>
    <w:rsid w:val="377F3CC5"/>
    <w:rsid w:val="37A63250"/>
    <w:rsid w:val="38127E05"/>
    <w:rsid w:val="38AB6425"/>
    <w:rsid w:val="3AB13805"/>
    <w:rsid w:val="3DFD76D5"/>
    <w:rsid w:val="3E5F2B36"/>
    <w:rsid w:val="403326AF"/>
    <w:rsid w:val="403D6107"/>
    <w:rsid w:val="40E078D9"/>
    <w:rsid w:val="42C92BE1"/>
    <w:rsid w:val="45DF547A"/>
    <w:rsid w:val="462F612A"/>
    <w:rsid w:val="46A318E4"/>
    <w:rsid w:val="478D6880"/>
    <w:rsid w:val="48D23834"/>
    <w:rsid w:val="4962010E"/>
    <w:rsid w:val="49A90D85"/>
    <w:rsid w:val="49EE6DE9"/>
    <w:rsid w:val="4C873FD9"/>
    <w:rsid w:val="4CB50446"/>
    <w:rsid w:val="4E741E35"/>
    <w:rsid w:val="4E7762AE"/>
    <w:rsid w:val="4F240FD1"/>
    <w:rsid w:val="4F2463B5"/>
    <w:rsid w:val="50534946"/>
    <w:rsid w:val="51313B73"/>
    <w:rsid w:val="52D65243"/>
    <w:rsid w:val="52E65906"/>
    <w:rsid w:val="546A1F8E"/>
    <w:rsid w:val="55010644"/>
    <w:rsid w:val="55BF4D0E"/>
    <w:rsid w:val="560C3FF0"/>
    <w:rsid w:val="56332A52"/>
    <w:rsid w:val="563460B7"/>
    <w:rsid w:val="566A61D6"/>
    <w:rsid w:val="56B37A95"/>
    <w:rsid w:val="56C066F9"/>
    <w:rsid w:val="578D14E1"/>
    <w:rsid w:val="580B0F53"/>
    <w:rsid w:val="58400730"/>
    <w:rsid w:val="589645B8"/>
    <w:rsid w:val="58FD31DA"/>
    <w:rsid w:val="59F650FA"/>
    <w:rsid w:val="5BFF2236"/>
    <w:rsid w:val="5D730B68"/>
    <w:rsid w:val="5E016FBD"/>
    <w:rsid w:val="5E5D5FC5"/>
    <w:rsid w:val="5E783D19"/>
    <w:rsid w:val="5E85512E"/>
    <w:rsid w:val="5EB6472F"/>
    <w:rsid w:val="5EDD1C71"/>
    <w:rsid w:val="5F3A48E0"/>
    <w:rsid w:val="5F733627"/>
    <w:rsid w:val="5FBB513C"/>
    <w:rsid w:val="60A7209F"/>
    <w:rsid w:val="61982681"/>
    <w:rsid w:val="61A15044"/>
    <w:rsid w:val="61E57119"/>
    <w:rsid w:val="62B208CB"/>
    <w:rsid w:val="631D095D"/>
    <w:rsid w:val="64A620C7"/>
    <w:rsid w:val="65A84430"/>
    <w:rsid w:val="6781040B"/>
    <w:rsid w:val="68C65CC5"/>
    <w:rsid w:val="69E873B0"/>
    <w:rsid w:val="6AEC53D5"/>
    <w:rsid w:val="6CD30472"/>
    <w:rsid w:val="6D1F0758"/>
    <w:rsid w:val="6E73CC04"/>
    <w:rsid w:val="70007CB6"/>
    <w:rsid w:val="70864DAB"/>
    <w:rsid w:val="714B3D0B"/>
    <w:rsid w:val="71814694"/>
    <w:rsid w:val="719E481E"/>
    <w:rsid w:val="71F001FE"/>
    <w:rsid w:val="72A74832"/>
    <w:rsid w:val="73637A0A"/>
    <w:rsid w:val="73FD7FD6"/>
    <w:rsid w:val="75B2039A"/>
    <w:rsid w:val="75C00CCA"/>
    <w:rsid w:val="76F22F38"/>
    <w:rsid w:val="777A5A18"/>
    <w:rsid w:val="78826E8D"/>
    <w:rsid w:val="78827AC1"/>
    <w:rsid w:val="793F08FA"/>
    <w:rsid w:val="79750262"/>
    <w:rsid w:val="7A1537AF"/>
    <w:rsid w:val="7A997AD1"/>
    <w:rsid w:val="7BDA2AAA"/>
    <w:rsid w:val="7BFD727C"/>
    <w:rsid w:val="7D4F6A3D"/>
    <w:rsid w:val="7DDF34B8"/>
    <w:rsid w:val="7E3E7392"/>
    <w:rsid w:val="7FD96CFB"/>
    <w:rsid w:val="DC7F5442"/>
    <w:rsid w:val="DF6F9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5">
    <w:name w:val="heading 2"/>
    <w:basedOn w:val="6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/>
      <w:b w:val="0"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eastAsia="文星仿宋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Cs w:val="32"/>
    </w:rPr>
  </w:style>
  <w:style w:type="paragraph" w:customStyle="1" w:styleId="6">
    <w:name w:val="标题1"/>
    <w:basedOn w:val="1"/>
    <w:qFormat/>
    <w:uiPriority w:val="0"/>
    <w:rPr>
      <w:rFonts w:ascii="Times New Roman" w:hAnsi="Times New Roman" w:eastAsia="黑体"/>
      <w:b/>
    </w:rPr>
  </w:style>
  <w:style w:type="paragraph" w:styleId="7">
    <w:name w:val="Body Text Indent"/>
    <w:basedOn w:val="1"/>
    <w:qFormat/>
    <w:uiPriority w:val="0"/>
    <w:pPr>
      <w:ind w:firstLine="640" w:firstLineChars="200"/>
    </w:pPr>
    <w:rPr>
      <w:rFonts w:hint="eastAsia" w:ascii="仿宋_GB2312"/>
    </w:rPr>
  </w:style>
  <w:style w:type="paragraph" w:styleId="8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2">
    <w:name w:val="page number"/>
    <w:basedOn w:val="11"/>
    <w:uiPriority w:val="0"/>
  </w:style>
  <w:style w:type="character" w:customStyle="1" w:styleId="13">
    <w:name w:val="页眉 字符"/>
    <w:basedOn w:val="11"/>
    <w:link w:val="9"/>
    <w:semiHidden/>
    <w:qFormat/>
    <w:uiPriority w:val="99"/>
    <w:rPr>
      <w:sz w:val="18"/>
      <w:szCs w:val="18"/>
    </w:rPr>
  </w:style>
  <w:style w:type="character" w:customStyle="1" w:styleId="14">
    <w:name w:val="页脚 字符"/>
    <w:basedOn w:val="11"/>
    <w:link w:val="8"/>
    <w:qFormat/>
    <w:uiPriority w:val="99"/>
    <w:rPr>
      <w:sz w:val="18"/>
      <w:szCs w:val="18"/>
    </w:rPr>
  </w:style>
  <w:style w:type="paragraph" w:customStyle="1" w:styleId="15">
    <w:name w:val="标题3"/>
    <w:basedOn w:val="1"/>
    <w:qFormat/>
    <w:uiPriority w:val="0"/>
    <w:pPr>
      <w:outlineLvl w:val="2"/>
    </w:pPr>
    <w:rPr>
      <w:rFonts w:ascii="等线" w:hAnsi="等线" w:cs="Times New Roman"/>
      <w:b/>
      <w:szCs w:val="24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1405</Words>
  <Characters>8013</Characters>
  <Lines>66</Lines>
  <Paragraphs>18</Paragraphs>
  <TotalTime>19</TotalTime>
  <ScaleCrop>false</ScaleCrop>
  <LinksUpToDate>false</LinksUpToDate>
  <CharactersWithSpaces>9400</CharactersWithSpaces>
  <Application>WPS Office_12.1.0.15673_F1E327BC-269C-435d-A152-05C5408002CA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2018-08-16T23:37:00Z</dcterms:created>
  <dc:creator>hp</dc:creator>
  <cp:lastModifiedBy>15122053668</cp:lastModifiedBy>
  <cp:lastPrinted>2023-01-29T07:27:00Z</cp:lastPrinted>
  <dcterms:modified xsi:type="dcterms:W3CDTF">2023-09-25T09:54:31Z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2052-12.1.0.15673</vt:lpwstr>
  </property>
  <property fmtid="{D5CDD505-2E9C-101B-9397-08002B2CF9AE}" pid="3" name="ICV">
    <vt:lpwstr>0CC62E6BF54C48409378197D6F898B63_12</vt:lpwstr>
  </property>
</Properties>
</file>